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 w:before="120"/>
      </w:pPr>
      <w:r>
        <w:rPr>
          <w:rFonts w:ascii="Calibri" w:cs="Calibri" w:eastAsia="Calibri" w:hAnsi="Calibri"/>
          <w:b/>
          <w:bCs/>
          <w:color w:val="1F3864"/>
          <w:sz w:val="32"/>
          <w:szCs w:val="32"/>
        </w:rPr>
        <w:t xml:space="preserve">Ficha interna — P-2343</w:t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4"/>
          <w:szCs w:val="24"/>
        </w:rPr>
        <w:t xml:space="preserve">Calle Pi y Margall, 12 · Vigo</w:t>
      </w:r>
    </w:p>
    <w:p>
      <w:pPr>
        <w:spacing w:after="2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Tipo: </w:t>
      </w:r>
      <w:r>
        <w:rPr>
          <w:rFonts w:ascii="Calibri" w:cs="Calibri" w:eastAsia="Calibri" w:hAnsi="Calibri"/>
          <w:sz w:val="22"/>
          <w:szCs w:val="22"/>
        </w:rPr>
        <w:t xml:space="preserve">Local comercial   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Hora visita: </w:t>
      </w:r>
      <w:r>
        <w:rPr>
          <w:rFonts w:ascii="Calibri" w:cs="Calibri" w:eastAsia="Calibri" w:hAnsi="Calibri"/>
          <w:sz w:val="22"/>
          <w:szCs w:val="22"/>
        </w:rPr>
        <w:t xml:space="preserve">12:45   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Agente: </w:t>
      </w:r>
      <w:r>
        <w:rPr>
          <w:rFonts w:ascii="Calibri" w:cs="Calibri" w:eastAsia="Calibri" w:hAnsi="Calibri"/>
          <w:sz w:val="22"/>
          <w:szCs w:val="22"/>
        </w:rPr>
        <w:t xml:space="preserve">Lucía Méndez</w:t>
      </w:r>
    </w:p>
    <w:p>
      <w:pPr>
        <w:pBdr>
          <w:bottom w:val="single" w:color="1F3864" w:sz="6" w:space="1"/>
        </w:pBdr>
        <w:spacing w:after="100" w:before="200"/>
      </w:pPr>
      <w:r>
        <w:rPr>
          <w:rFonts w:ascii="Calibri" w:cs="Calibri" w:eastAsia="Calibri" w:hAnsi="Calibri"/>
          <w:b/>
          <w:bCs/>
          <w:color w:val="1F3864"/>
          <w:sz w:val="26"/>
          <w:szCs w:val="26"/>
        </w:rPr>
        <w:t xml:space="preserve">Datos del catastro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Referencia catastral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9543220NG2794S0001LM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Uso principal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Comercial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Superficie construida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65 m²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Año construcción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2002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Coef. de participación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0,76 %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Titular catastral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Inversiones Atlántico SL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NIF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B36343567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Domicilio fiscal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Calle Pi y Margall, 12, Vigo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Derecho / cuota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Pleno dominio · 100,00 %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Valor del suelo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60.900 €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Valor de construcción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73.950 €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Valor catastral total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134.850 €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Año de revisión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2022</w:t>
            </w:r>
          </w:p>
        </w:tc>
      </w:tr>
    </w:tbl>
    <w:p>
      <w:pPr>
        <w:pBdr>
          <w:bottom w:val="single" w:color="1F3864" w:sz="6" w:space="1"/>
        </w:pBdr>
        <w:spacing w:after="100" w:before="200"/>
      </w:pPr>
      <w:r>
        <w:rPr>
          <w:rFonts w:ascii="Calibri" w:cs="Calibri" w:eastAsia="Calibri" w:hAnsi="Calibri"/>
          <w:b/>
          <w:bCs/>
          <w:color w:val="1F3864"/>
          <w:sz w:val="26"/>
          <w:szCs w:val="26"/>
        </w:rPr>
        <w:t xml:space="preserve">Datos del CRM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ID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P-2343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Dirección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Calle Pi y Margall, 12, Vigo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Tipo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Local comercial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Superficie (m²)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65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Habitaciones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0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Baños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1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Año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2002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Estado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Diáfano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Precio pedido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145.000 €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Dueño / Vendedor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Inversiones Atlántico SL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Teléfono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986 224 117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Ref. catastral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9543220NG2794S0001LM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Agente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Lucía Méndez</w:t>
            </w:r>
          </w:p>
        </w:tc>
      </w:tr>
    </w:tbl>
    <w:p>
      <w:pPr>
        <w:pBdr>
          <w:bottom w:val="single" w:color="1F3864" w:sz="6" w:space="1"/>
        </w:pBdr>
        <w:spacing w:after="100" w:before="200"/>
      </w:pPr>
      <w:r>
        <w:rPr>
          <w:rFonts w:ascii="Calibri" w:cs="Calibri" w:eastAsia="Calibri" w:hAnsi="Calibri"/>
          <w:b/>
          <w:bCs/>
          <w:color w:val="1F3864"/>
          <w:sz w:val="26"/>
          <w:szCs w:val="26"/>
        </w:rPr>
        <w:t xml:space="preserve">Observaciones de visita (OCR de la nota a mano)</w:t>
      </w:r>
    </w:p>
    <w:p>
      <w:pPr>
        <w:spacing w:after="60" w:before="140"/>
      </w:pPr>
      <w:r>
        <w:rPr>
          <w:rFonts w:ascii="Calibri" w:cs="Calibri" w:eastAsia="Calibri" w:hAnsi="Calibri"/>
          <w:b/>
          <w:bCs/>
          <w:color w:val="1F3864"/>
          <w:sz w:val="23"/>
          <w:szCs w:val="23"/>
        </w:rPr>
        <w:t xml:space="preserve">Estado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Local de 65 m² + 1 baño al fondo. Diáfano.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Esquina con escaparate ancho ~6 m.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Suelo de cemento, paredes pintadas en blanco.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Zona comercial activa (óptica, peluquería, panadería). Tráfico peatonal alto.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Comunidad: 80 €/mes. IBI: ~580 €/año.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Llegada con 15 minutos de retraso.</w:t>
      </w:r>
    </w:p>
    <w:p>
      <w:pPr>
        <w:spacing w:after="60" w:before="140"/>
      </w:pPr>
      <w:r>
        <w:rPr>
          <w:rFonts w:ascii="Calibri" w:cs="Calibri" w:eastAsia="Calibri" w:hAnsi="Calibri"/>
          <w:b/>
          <w:bCs/>
          <w:color w:val="1F3864"/>
          <w:sz w:val="23"/>
          <w:szCs w:val="23"/>
        </w:rPr>
        <w:t xml:space="preserve">Defectos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SIN licencia de hostelería — limita perfil de comprador (importante).</w:t>
      </w:r>
    </w:p>
    <w:p>
      <w:pPr>
        <w:spacing w:after="60" w:before="140"/>
      </w:pPr>
      <w:r>
        <w:rPr>
          <w:rFonts w:ascii="Calibri" w:cs="Calibri" w:eastAsia="Calibri" w:hAnsi="Calibri"/>
          <w:b/>
          <w:bCs/>
          <w:color w:val="1F3864"/>
          <w:sz w:val="23"/>
          <w:szCs w:val="23"/>
        </w:rPr>
        <w:t xml:space="preserve">Precio negociable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Pide 145.000 €.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No se ha registrado margen de negociación en la nota.</w:t>
      </w:r>
    </w:p>
    <w:p>
      <w:pPr>
        <w:spacing w:after="60" w:before="140"/>
      </w:pPr>
      <w:r>
        <w:rPr>
          <w:rFonts w:ascii="Calibri" w:cs="Calibri" w:eastAsia="Calibri" w:hAnsi="Calibri"/>
          <w:b/>
          <w:bCs/>
          <w:color w:val="1F3864"/>
          <w:sz w:val="23"/>
          <w:szCs w:val="23"/>
        </w:rPr>
        <w:t xml:space="preserve">Dueño / Vendedor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Vendedor: Inversiones Atlántico SL.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Administrador / contacto: José María Pereira — tlf. 986 224 117.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Aclaración: el "Teléfono" del CRM corresponde al administrador, no a un dueño persona física.</w:t>
      </w:r>
    </w:p>
    <w:p>
      <w:pPr>
        <w:spacing w:after="60" w:before="140"/>
      </w:pPr>
      <w:r>
        <w:rPr>
          <w:rFonts w:ascii="Calibri" w:cs="Calibri" w:eastAsia="Calibri" w:hAnsi="Calibri"/>
          <w:b/>
          <w:bCs/>
          <w:color w:val="1F3864"/>
          <w:sz w:val="23"/>
          <w:szCs w:val="23"/>
        </w:rPr>
        <w:t xml:space="preserve">Prioridad</w:t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ALTA — cliente Óptica Vidal buscaba justo esta zona.</w:t>
      </w:r>
    </w:p>
    <w:p>
      <w:pPr>
        <w:spacing w:after="60" w:before="140"/>
      </w:pPr>
      <w:r>
        <w:rPr>
          <w:rFonts w:ascii="Calibri" w:cs="Calibri" w:eastAsia="Calibri" w:hAnsi="Calibri"/>
          <w:b/>
          <w:bCs/>
          <w:color w:val="1F3864"/>
          <w:sz w:val="23"/>
          <w:szCs w:val="23"/>
        </w:rPr>
        <w:t xml:space="preserve">Clientes potenciales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Óptica Vidal — encaje muy alto.</w:t>
      </w:r>
    </w:p>
    <w:p>
      <w:pPr>
        <w:pBdr>
          <w:bottom w:val="single" w:color="1F3864" w:sz="6" w:space="1"/>
        </w:pBdr>
        <w:spacing w:after="100" w:before="200"/>
      </w:pPr>
      <w:r>
        <w:rPr>
          <w:rFonts w:ascii="Calibri" w:cs="Calibri" w:eastAsia="Calibri" w:hAnsi="Calibri"/>
          <w:b/>
          <w:bCs/>
          <w:color w:val="1F3864"/>
          <w:sz w:val="26"/>
          <w:szCs w:val="26"/>
        </w:rPr>
        <w:t xml:space="preserve">Síntesis (3 líneas)</w:t>
      </w:r>
    </w:p>
    <w:p>
      <w:pPr>
        <w:spacing w:after="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Estado · </w:t>
      </w:r>
      <w:r>
        <w:rPr>
          <w:rFonts w:ascii="Calibri" w:cs="Calibri" w:eastAsia="Calibri" w:hAnsi="Calibri"/>
          <w:sz w:val="22"/>
          <w:szCs w:val="22"/>
        </w:rPr>
        <w:t xml:space="preserve">Diáfano, esquina con escaparate; sin licencia de hostelería.</w:t>
      </w:r>
    </w:p>
    <w:p>
      <w:pPr>
        <w:spacing w:after="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Precio · </w:t>
      </w:r>
      <w:r>
        <w:rPr>
          <w:rFonts w:ascii="Calibri" w:cs="Calibri" w:eastAsia="Calibri" w:hAnsi="Calibri"/>
          <w:sz w:val="22"/>
          <w:szCs w:val="22"/>
        </w:rPr>
        <w:t xml:space="preserve">145.000 €.</w:t>
      </w:r>
    </w:p>
    <w:p>
      <w:pPr>
        <w:spacing w:after="2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Prioridad · </w:t>
      </w:r>
      <w:r>
        <w:rPr>
          <w:rFonts w:ascii="Calibri" w:cs="Calibri" w:eastAsia="Calibri" w:hAnsi="Calibri"/>
          <w:sz w:val="22"/>
          <w:szCs w:val="22"/>
        </w:rPr>
        <w:t xml:space="preserve">ALTA (encaja con Óptica Vidal).</w:t>
      </w:r>
    </w:p>
    <w:p>
      <w:r>
        <w:br w:type="page"/>
      </w:r>
    </w:p>
    <w:p>
      <w:pPr>
        <w:pBdr>
          <w:bottom w:val="single" w:color="1F3864" w:sz="6" w:space="1"/>
        </w:pBdr>
        <w:spacing w:after="100" w:before="200"/>
      </w:pPr>
      <w:r>
        <w:rPr>
          <w:rFonts w:ascii="Calibri" w:cs="Calibri" w:eastAsia="Calibri" w:hAnsi="Calibri"/>
          <w:b/>
          <w:bCs/>
          <w:color w:val="1F3864"/>
          <w:sz w:val="26"/>
          <w:szCs w:val="26"/>
        </w:rPr>
        <w:t xml:space="preserve">Fotos del inmueble</w:t>
      </w:r>
    </w:p>
    <w:p>
      <w:pPr>
        <w:spacing w:after="60" w:before="120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P-2343_01.jpg (1/3)</w:t>
      </w:r>
    </w:p>
    <w:p>
      <w:r>
        <w:drawing>
          <wp:inline distT="0" distB="0" distL="0" distR="0">
            <wp:extent cx="3429000" cy="2571750"/>
            <wp:effectExtent t="0" r="0" b="0" l="0"/>
            <wp:docPr id="1" name="P-2343_01.jpg (1/3)" descr="P-2343_01.jpg (1/3)" title="P-2343_01.jpg (1/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 w:before="120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P-2343_02.jpg (2/3)</w:t>
      </w:r>
    </w:p>
    <w:p>
      <w:r>
        <w:drawing>
          <wp:inline distT="0" distB="0" distL="0" distR="0">
            <wp:extent cx="3429000" cy="2571750"/>
            <wp:effectExtent t="0" r="0" b="0" l="0"/>
            <wp:docPr id="1" name="P-2343_02.jpg (2/3)" descr="P-2343_02.jpg (2/3)" title="P-2343_02.jpg (2/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 w:before="120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P-2343_03.jpg (3/3)</w:t>
      </w:r>
    </w:p>
    <w:p>
      <w:r>
        <w:drawing>
          <wp:inline distT="0" distB="0" distL="0" distR="0">
            <wp:extent cx="3429000" cy="2571750"/>
            <wp:effectExtent t="0" r="0" b="0" l="0"/>
            <wp:docPr id="1" name="P-2343_03.jpg (3/3)" descr="P-2343_03.jpg (3/3)" title="P-2343_03.jpg (3/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352acdb491f8c2b087883f0f810ebae74bc8558d.jpg"/><Relationship Id="rId8" Type="http://schemas.openxmlformats.org/officeDocument/2006/relationships/image" Target="media/c15e93a52f0b6cc5bc5663c291253388de84a175.jpg"/><Relationship Id="rId9" Type="http://schemas.openxmlformats.org/officeDocument/2006/relationships/image" Target="media/305eb3610526037829ab107db042d8caba6cf20e.jp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2026-05-07T14:07:31.668Z</dcterms:created>
  <dcterms:modified xsi:type="dcterms:W3CDTF">2026-05-07T14:07:31.668Z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